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highlight w:val="none"/>
          <w:lang w:val="en-US" w:eastAsia="zh-CN"/>
        </w:rPr>
      </w:pPr>
      <w:r>
        <w:rPr>
          <w:rFonts w:ascii="Arial" w:hAnsi="Arial"/>
          <w:b/>
          <w:sz w:val="24"/>
          <w:szCs w:val="24"/>
          <w:highlight w:val="none"/>
          <w:lang w:eastAsia="ja-JP"/>
        </w:rPr>
        <w:t>3GPP TSG- SA1 Meeting # 10</w:t>
      </w:r>
      <w:r>
        <w:rPr>
          <w:rFonts w:hint="eastAsia" w:ascii="Arial" w:hAnsi="Arial" w:eastAsia="宋体"/>
          <w:b/>
          <w:sz w:val="24"/>
          <w:szCs w:val="24"/>
          <w:highlight w:val="none"/>
          <w:lang w:val="en-US" w:eastAsia="zh-CN"/>
        </w:rPr>
        <w:t>6</w:t>
      </w:r>
      <w:r>
        <w:rPr>
          <w:rFonts w:ascii="Arial" w:hAnsi="Arial"/>
          <w:b/>
          <w:sz w:val="24"/>
          <w:szCs w:val="24"/>
          <w:highlight w:val="none"/>
          <w:lang w:eastAsia="ja-JP"/>
        </w:rPr>
        <w:t xml:space="preserve"> </w:t>
      </w:r>
      <w:r>
        <w:rPr>
          <w:rFonts w:ascii="Arial" w:hAnsi="Arial"/>
          <w:b/>
          <w:sz w:val="24"/>
          <w:szCs w:val="24"/>
          <w:highlight w:val="none"/>
          <w:lang w:eastAsia="ja-JP"/>
        </w:rPr>
        <w:tab/>
      </w:r>
      <w:r>
        <w:rPr>
          <w:rFonts w:ascii="Arial" w:hAnsi="Arial"/>
          <w:b/>
          <w:sz w:val="24"/>
          <w:szCs w:val="24"/>
          <w:highlight w:val="none"/>
          <w:lang w:eastAsia="ja-JP"/>
        </w:rPr>
        <w:fldChar w:fldCharType="begin"/>
      </w:r>
      <w:r>
        <w:rPr>
          <w:rFonts w:ascii="Arial" w:hAnsi="Arial"/>
          <w:b/>
          <w:sz w:val="24"/>
          <w:szCs w:val="24"/>
          <w:highlight w:val="none"/>
          <w:lang w:eastAsia="ja-JP"/>
        </w:rPr>
        <w:instrText xml:space="preserve"> HYPERLINK "file:///E:\\TSGS1_104_Chicago\\docs\\S1-233283.zip" </w:instrText>
      </w:r>
      <w:r>
        <w:rPr>
          <w:rFonts w:ascii="Arial" w:hAnsi="Arial"/>
          <w:b/>
          <w:sz w:val="24"/>
          <w:szCs w:val="24"/>
          <w:highlight w:val="none"/>
          <w:lang w:eastAsia="ja-JP"/>
        </w:rPr>
        <w:fldChar w:fldCharType="separate"/>
      </w:r>
      <w:r>
        <w:rPr>
          <w:rFonts w:ascii="Arial" w:hAnsi="Arial"/>
          <w:b/>
          <w:sz w:val="24"/>
          <w:szCs w:val="24"/>
          <w:highlight w:val="none"/>
          <w:lang w:eastAsia="ja-JP"/>
        </w:rPr>
        <w:t>S1-2</w:t>
      </w:r>
      <w:r>
        <w:rPr>
          <w:rFonts w:hint="eastAsia" w:ascii="Arial" w:hAnsi="Arial"/>
          <w:b/>
          <w:sz w:val="24"/>
          <w:szCs w:val="24"/>
          <w:highlight w:val="none"/>
          <w:lang w:val="en-US" w:eastAsia="zh-CN"/>
        </w:rPr>
        <w:t>41132</w:t>
      </w:r>
      <w:r>
        <w:rPr>
          <w:rFonts w:ascii="Arial" w:hAnsi="Arial"/>
          <w:b/>
          <w:sz w:val="24"/>
          <w:szCs w:val="24"/>
          <w:highlight w:val="none"/>
          <w:lang w:eastAsia="ja-JP"/>
        </w:rPr>
        <w:fldChar w:fldCharType="end"/>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ascii="Arial" w:hAnsi="Arial" w:eastAsia="Batang" w:cs="Arial"/>
          <w:b/>
          <w:highlight w:val="none"/>
          <w:lang w:val="en-US" w:eastAsia="zh-CN"/>
        </w:rPr>
      </w:pPr>
      <w:r>
        <w:rPr>
          <w:rFonts w:hint="eastAsia" w:ascii="Arial" w:hAnsi="Arial"/>
          <w:b/>
          <w:sz w:val="24"/>
          <w:szCs w:val="24"/>
          <w:highlight w:val="none"/>
          <w:lang w:eastAsia="ja-JP"/>
        </w:rPr>
        <w:t>Jeju</w:t>
      </w:r>
      <w:r>
        <w:rPr>
          <w:rFonts w:ascii="Arial" w:hAnsi="Arial"/>
          <w:b/>
          <w:sz w:val="24"/>
          <w:szCs w:val="24"/>
          <w:highlight w:val="none"/>
          <w:lang w:eastAsia="ja-JP"/>
        </w:rPr>
        <w:t xml:space="preserve">, </w:t>
      </w:r>
      <w:r>
        <w:rPr>
          <w:rFonts w:hint="eastAsia" w:ascii="Arial" w:hAnsi="Arial"/>
          <w:b/>
          <w:sz w:val="24"/>
          <w:szCs w:val="24"/>
          <w:highlight w:val="none"/>
          <w:lang w:val="en-US" w:eastAsia="zh-CN"/>
        </w:rPr>
        <w:t>Korea</w:t>
      </w:r>
      <w:r>
        <w:rPr>
          <w:rFonts w:ascii="Arial" w:hAnsi="Arial"/>
          <w:b/>
          <w:sz w:val="24"/>
          <w:szCs w:val="24"/>
          <w:highlight w:val="none"/>
          <w:lang w:eastAsia="ja-JP"/>
        </w:rPr>
        <w:t xml:space="preserve">, </w:t>
      </w:r>
      <w:r>
        <w:rPr>
          <w:rFonts w:hint="eastAsia" w:ascii="Arial" w:hAnsi="Arial"/>
          <w:b/>
          <w:sz w:val="24"/>
          <w:szCs w:val="24"/>
          <w:highlight w:val="none"/>
          <w:lang w:val="en-US" w:eastAsia="zh-CN"/>
        </w:rPr>
        <w:t>27</w:t>
      </w:r>
      <w:r>
        <w:rPr>
          <w:rFonts w:ascii="Arial" w:hAnsi="Arial"/>
          <w:b/>
          <w:sz w:val="24"/>
          <w:szCs w:val="24"/>
          <w:highlight w:val="none"/>
          <w:lang w:eastAsia="ja-JP"/>
        </w:rPr>
        <w:t xml:space="preserve"> </w:t>
      </w:r>
      <w:r>
        <w:rPr>
          <w:rFonts w:hint="eastAsia" w:ascii="Arial" w:hAnsi="Arial"/>
          <w:b/>
          <w:sz w:val="24"/>
          <w:szCs w:val="24"/>
          <w:highlight w:val="none"/>
          <w:lang w:val="en-US" w:eastAsia="zh-CN"/>
        </w:rPr>
        <w:t>May</w:t>
      </w:r>
      <w:r>
        <w:rPr>
          <w:rFonts w:ascii="Arial" w:hAnsi="Arial"/>
          <w:b/>
          <w:sz w:val="24"/>
          <w:szCs w:val="24"/>
          <w:highlight w:val="none"/>
          <w:lang w:eastAsia="ja-JP"/>
        </w:rPr>
        <w:t xml:space="preserve"> - </w:t>
      </w:r>
      <w:r>
        <w:rPr>
          <w:rFonts w:hint="eastAsia" w:ascii="Arial" w:hAnsi="Arial"/>
          <w:b/>
          <w:sz w:val="24"/>
          <w:szCs w:val="24"/>
          <w:highlight w:val="none"/>
          <w:lang w:val="en-US" w:eastAsia="zh-CN"/>
        </w:rPr>
        <w:t>3</w:t>
      </w:r>
      <w:r>
        <w:rPr>
          <w:rFonts w:ascii="Arial" w:hAnsi="Arial"/>
          <w:b/>
          <w:sz w:val="24"/>
          <w:szCs w:val="24"/>
          <w:highlight w:val="none"/>
          <w:lang w:eastAsia="ja-JP"/>
        </w:rPr>
        <w:t xml:space="preserve">1 </w:t>
      </w:r>
      <w:r>
        <w:rPr>
          <w:rFonts w:hint="eastAsia" w:ascii="Arial" w:hAnsi="Arial"/>
          <w:b/>
          <w:sz w:val="24"/>
          <w:szCs w:val="24"/>
          <w:highlight w:val="none"/>
          <w:lang w:val="en-US" w:eastAsia="zh-CN"/>
        </w:rPr>
        <w:t>May</w:t>
      </w:r>
      <w:r>
        <w:rPr>
          <w:rFonts w:ascii="Arial" w:hAnsi="Arial"/>
          <w:b/>
          <w:sz w:val="24"/>
          <w:szCs w:val="24"/>
          <w:highlight w:val="none"/>
          <w:lang w:eastAsia="ja-JP"/>
        </w:rPr>
        <w:t xml:space="preserve"> 2024</w:t>
      </w:r>
      <w:r>
        <w:rPr>
          <w:highlight w:val="none"/>
        </w:rPr>
        <w:tab/>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China Mobile</w:t>
      </w:r>
      <w:r>
        <w:rPr>
          <w:rFonts w:hint="eastAsia" w:ascii="Arial" w:hAnsi="Arial" w:eastAsia="Batang"/>
          <w:b/>
          <w:sz w:val="24"/>
          <w:szCs w:val="24"/>
          <w:highlight w:val="none"/>
          <w:lang w:val="en-US" w:eastAsia="zh-CN"/>
        </w:rPr>
        <w:t>, LG Uplus, Toyota, OPPO, vivo, CATT, Asia Info</w:t>
      </w:r>
    </w:p>
    <w:p>
      <w:pPr>
        <w:tabs>
          <w:tab w:val="left" w:pos="2127"/>
        </w:tabs>
        <w:ind w:left="2127" w:hanging="2127"/>
        <w:jc w:val="both"/>
        <w:outlineLvl w:val="0"/>
        <w:rPr>
          <w:rFonts w:hint="default" w:ascii="Arial" w:hAnsi="Arial" w:eastAsia="Batang" w:cs="Arial"/>
          <w:b/>
          <w:sz w:val="24"/>
          <w:szCs w:val="24"/>
          <w:highlight w:val="none"/>
          <w:lang w:val="en-US"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val="en-US" w:eastAsia="zh-CN"/>
        </w:rPr>
        <w:t>Study</w:t>
      </w:r>
      <w:r>
        <w:rPr>
          <w:rFonts w:ascii="Arial" w:hAnsi="Arial" w:eastAsia="Batang" w:cs="Arial"/>
          <w:b/>
          <w:sz w:val="24"/>
          <w:szCs w:val="24"/>
          <w:highlight w:val="none"/>
          <w:lang w:eastAsia="zh-CN"/>
        </w:rPr>
        <w:t xml:space="preserve"> on </w:t>
      </w:r>
      <w:r>
        <w:rPr>
          <w:rFonts w:hint="eastAsia" w:ascii="Arial" w:hAnsi="Arial" w:eastAsia="Batang" w:cs="Arial"/>
          <w:b/>
          <w:sz w:val="24"/>
          <w:szCs w:val="24"/>
          <w:highlight w:val="none"/>
          <w:lang w:val="en-US" w:eastAsia="zh-CN"/>
        </w:rPr>
        <w:t>6G Services</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 xml:space="preserve">Information </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8</w:t>
      </w:r>
    </w:p>
    <w:p>
      <w:pPr>
        <w:rPr>
          <w:rFonts w:eastAsia="Batang"/>
          <w:highlight w:val="none"/>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25"/>
        <w:rPr>
          <w:rFonts w:hint="default" w:eastAsia="宋体"/>
          <w:highlight w:val="none"/>
          <w:lang w:val="en-US" w:eastAsia="zh-CN"/>
        </w:rPr>
      </w:pPr>
      <w:r>
        <w:rPr>
          <w:rFonts w:ascii="Arial" w:hAnsi="Arial" w:eastAsia="Times New Roman"/>
          <w:color w:val="auto"/>
          <w:sz w:val="36"/>
          <w:highlight w:val="none"/>
        </w:rPr>
        <w:t xml:space="preserve">Title: </w:t>
      </w:r>
      <w:r>
        <w:rPr>
          <w:rFonts w:hint="eastAsia" w:ascii="Arial" w:hAnsi="Arial" w:eastAsia="宋体"/>
          <w:i w:val="0"/>
          <w:iCs/>
          <w:color w:val="auto"/>
          <w:sz w:val="36"/>
          <w:highlight w:val="none"/>
          <w:lang w:val="en-US" w:eastAsia="zh-CN"/>
        </w:rPr>
        <w:t>Study on 6G Services</w:t>
      </w:r>
    </w:p>
    <w:p>
      <w:pPr>
        <w:pStyle w:val="25"/>
        <w:rPr>
          <w:rFonts w:hint="default" w:eastAsia="宋体"/>
          <w:highlight w:val="none"/>
          <w:lang w:val="en-US" w:eastAsia="zh-CN"/>
        </w:rPr>
      </w:pPr>
      <w:r>
        <w:rPr>
          <w:rFonts w:ascii="Arial" w:hAnsi="Arial" w:eastAsia="Times New Roman"/>
          <w:color w:val="auto"/>
          <w:sz w:val="36"/>
          <w:highlight w:val="none"/>
        </w:rPr>
        <w:t xml:space="preserve">Acronym: </w:t>
      </w:r>
      <w:r>
        <w:rPr>
          <w:rFonts w:hint="eastAsia" w:ascii="Arial" w:hAnsi="Arial" w:eastAsia="宋体"/>
          <w:color w:val="auto"/>
          <w:sz w:val="36"/>
          <w:highlight w:val="none"/>
          <w:lang w:val="en-US" w:eastAsia="zh-CN"/>
        </w:rPr>
        <w:t>FS_6GServ</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pPr>
        <w:pStyle w:val="25"/>
        <w:rPr>
          <w:rFonts w:eastAsia="MS Mincho"/>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highlight w:val="none"/>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rPr>
                <w:highlight w:val="none"/>
              </w:rPr>
            </w:pPr>
            <w:r>
              <w:rPr>
                <w:highlight w:val="none"/>
              </w:rPr>
              <w:t>Affects:</w:t>
            </w:r>
          </w:p>
        </w:tc>
        <w:tc>
          <w:tcPr>
            <w:tcW w:w="1275" w:type="dxa"/>
            <w:tcBorders>
              <w:left w:val="nil"/>
              <w:bottom w:val="single" w:color="auto" w:sz="12" w:space="0"/>
            </w:tcBorders>
            <w:shd w:val="clear" w:color="auto" w:fill="E0E0E0"/>
          </w:tcPr>
          <w:p>
            <w:pPr>
              <w:pStyle w:val="28"/>
              <w:rPr>
                <w:highlight w:val="none"/>
              </w:rPr>
            </w:pPr>
            <w:r>
              <w:rPr>
                <w:highlight w:val="none"/>
              </w:rPr>
              <w:t>UICC apps</w:t>
            </w:r>
          </w:p>
        </w:tc>
        <w:tc>
          <w:tcPr>
            <w:tcW w:w="1037" w:type="dxa"/>
            <w:tcBorders>
              <w:bottom w:val="single" w:color="auto" w:sz="12" w:space="0"/>
            </w:tcBorders>
            <w:shd w:val="clear" w:color="auto" w:fill="E0E0E0"/>
          </w:tcPr>
          <w:p>
            <w:pPr>
              <w:pStyle w:val="28"/>
              <w:rPr>
                <w:highlight w:val="none"/>
              </w:rPr>
            </w:pPr>
            <w:r>
              <w:rPr>
                <w:highlight w:val="none"/>
              </w:rPr>
              <w:t>ME</w:t>
            </w:r>
          </w:p>
        </w:tc>
        <w:tc>
          <w:tcPr>
            <w:tcW w:w="850" w:type="dxa"/>
            <w:tcBorders>
              <w:bottom w:val="single" w:color="auto" w:sz="12" w:space="0"/>
            </w:tcBorders>
            <w:shd w:val="clear" w:color="auto" w:fill="E0E0E0"/>
          </w:tcPr>
          <w:p>
            <w:pPr>
              <w:pStyle w:val="28"/>
              <w:rPr>
                <w:highlight w:val="none"/>
              </w:rPr>
            </w:pPr>
            <w:r>
              <w:rPr>
                <w:highlight w:val="none"/>
              </w:rPr>
              <w:t>AN</w:t>
            </w:r>
          </w:p>
        </w:tc>
        <w:tc>
          <w:tcPr>
            <w:tcW w:w="851" w:type="dxa"/>
            <w:tcBorders>
              <w:bottom w:val="single" w:color="auto" w:sz="12" w:space="0"/>
            </w:tcBorders>
            <w:shd w:val="clear" w:color="auto" w:fill="E0E0E0"/>
          </w:tcPr>
          <w:p>
            <w:pPr>
              <w:pStyle w:val="28"/>
              <w:rPr>
                <w:highlight w:val="none"/>
              </w:rPr>
            </w:pPr>
            <w:r>
              <w:rPr>
                <w:highlight w:val="none"/>
              </w:rPr>
              <w:t>CN</w:t>
            </w:r>
          </w:p>
        </w:tc>
        <w:tc>
          <w:tcPr>
            <w:tcW w:w="1752" w:type="dxa"/>
            <w:tcBorders>
              <w:bottom w:val="single" w:color="auto" w:sz="12" w:space="0"/>
            </w:tcBorders>
            <w:shd w:val="clear" w:color="auto" w:fill="E0E0E0"/>
          </w:tcPr>
          <w:p>
            <w:pPr>
              <w:pStyle w:val="28"/>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rPr>
                <w:highlight w:val="none"/>
              </w:rPr>
            </w:pPr>
            <w:r>
              <w:rPr>
                <w:highlight w:val="none"/>
              </w:rPr>
              <w:t>Yes</w:t>
            </w:r>
          </w:p>
        </w:tc>
        <w:tc>
          <w:tcPr>
            <w:tcW w:w="1275" w:type="dxa"/>
            <w:tcBorders>
              <w:top w:val="nil"/>
              <w:left w:val="nil"/>
            </w:tcBorders>
          </w:tcPr>
          <w:p>
            <w:pPr>
              <w:pStyle w:val="29"/>
              <w:rPr>
                <w:highlight w:val="none"/>
              </w:rPr>
            </w:pPr>
          </w:p>
        </w:tc>
        <w:tc>
          <w:tcPr>
            <w:tcW w:w="1037" w:type="dxa"/>
            <w:tcBorders>
              <w:top w:val="nil"/>
            </w:tcBorders>
          </w:tcPr>
          <w:p>
            <w:pPr>
              <w:pStyle w:val="29"/>
              <w:rPr>
                <w:highlight w:val="none"/>
              </w:rPr>
            </w:pPr>
            <w:r>
              <w:rPr>
                <w:rFonts w:hint="eastAsia"/>
                <w:highlight w:val="none"/>
                <w:lang w:eastAsia="zh-CN"/>
              </w:rPr>
              <w:t>x</w:t>
            </w:r>
          </w:p>
        </w:tc>
        <w:tc>
          <w:tcPr>
            <w:tcW w:w="850" w:type="dxa"/>
            <w:tcBorders>
              <w:top w:val="nil"/>
            </w:tcBorders>
          </w:tcPr>
          <w:p>
            <w:pPr>
              <w:pStyle w:val="29"/>
              <w:rPr>
                <w:highlight w:val="none"/>
                <w:lang w:eastAsia="zh-CN"/>
              </w:rPr>
            </w:pPr>
            <w:r>
              <w:rPr>
                <w:rFonts w:hint="eastAsia"/>
                <w:highlight w:val="none"/>
                <w:lang w:eastAsia="zh-CN"/>
              </w:rPr>
              <w:t>x</w:t>
            </w:r>
          </w:p>
        </w:tc>
        <w:tc>
          <w:tcPr>
            <w:tcW w:w="851" w:type="dxa"/>
            <w:tcBorders>
              <w:top w:val="nil"/>
            </w:tcBorders>
          </w:tcPr>
          <w:p>
            <w:pPr>
              <w:pStyle w:val="29"/>
              <w:rPr>
                <w:highlight w:val="none"/>
                <w:lang w:eastAsia="zh-CN"/>
              </w:rPr>
            </w:pPr>
            <w:r>
              <w:rPr>
                <w:rFonts w:hint="eastAsia"/>
                <w:highlight w:val="none"/>
                <w:lang w:eastAsia="zh-CN"/>
              </w:rPr>
              <w:t>x</w:t>
            </w:r>
          </w:p>
        </w:tc>
        <w:tc>
          <w:tcPr>
            <w:tcW w:w="1752" w:type="dxa"/>
            <w:tcBorders>
              <w:top w:val="nil"/>
            </w:tcBorders>
          </w:tcPr>
          <w:p>
            <w:pPr>
              <w:pStyle w:val="29"/>
              <w:rPr>
                <w:highlight w:val="none"/>
              </w:rPr>
            </w:pPr>
            <w:r>
              <w:rPr>
                <w:highlight w:val="none"/>
              </w:rPr>
              <w:t>Application Service Enabler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rPr>
                <w:highlight w:val="none"/>
              </w:rPr>
            </w:pPr>
            <w:r>
              <w:rPr>
                <w:highlight w:val="none"/>
              </w:rPr>
              <w:t>No</w:t>
            </w:r>
          </w:p>
        </w:tc>
        <w:tc>
          <w:tcPr>
            <w:tcW w:w="1275" w:type="dxa"/>
            <w:tcBorders>
              <w:left w:val="nil"/>
            </w:tcBorders>
          </w:tcPr>
          <w:p>
            <w:pPr>
              <w:pStyle w:val="29"/>
              <w:rPr>
                <w:highlight w:val="none"/>
              </w:rPr>
            </w:pPr>
          </w:p>
        </w:tc>
        <w:tc>
          <w:tcPr>
            <w:tcW w:w="1037" w:type="dxa"/>
          </w:tcPr>
          <w:p>
            <w:pPr>
              <w:pStyle w:val="29"/>
              <w:rPr>
                <w:highlight w:val="none"/>
                <w:lang w:eastAsia="zh-CN"/>
              </w:rPr>
            </w:pPr>
          </w:p>
        </w:tc>
        <w:tc>
          <w:tcPr>
            <w:tcW w:w="850" w:type="dxa"/>
          </w:tcPr>
          <w:p>
            <w:pPr>
              <w:pStyle w:val="29"/>
              <w:rPr>
                <w:highlight w:val="none"/>
              </w:rPr>
            </w:pPr>
          </w:p>
        </w:tc>
        <w:tc>
          <w:tcPr>
            <w:tcW w:w="851" w:type="dxa"/>
          </w:tcPr>
          <w:p>
            <w:pPr>
              <w:pStyle w:val="29"/>
              <w:rPr>
                <w:highlight w:val="none"/>
              </w:rPr>
            </w:pPr>
          </w:p>
        </w:tc>
        <w:tc>
          <w:tcPr>
            <w:tcW w:w="1752" w:type="dxa"/>
          </w:tcPr>
          <w:p>
            <w:pPr>
              <w:pStyle w:val="29"/>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rPr>
                <w:highlight w:val="none"/>
              </w:rPr>
            </w:pPr>
            <w:r>
              <w:rPr>
                <w:highlight w:val="none"/>
              </w:rPr>
              <w:t>Don't know</w:t>
            </w:r>
          </w:p>
        </w:tc>
        <w:tc>
          <w:tcPr>
            <w:tcW w:w="1275" w:type="dxa"/>
            <w:tcBorders>
              <w:left w:val="nil"/>
            </w:tcBorders>
          </w:tcPr>
          <w:p>
            <w:pPr>
              <w:pStyle w:val="29"/>
              <w:rPr>
                <w:highlight w:val="none"/>
                <w:lang w:eastAsia="zh-CN"/>
              </w:rPr>
            </w:pPr>
            <w:r>
              <w:rPr>
                <w:rFonts w:hint="eastAsia"/>
                <w:highlight w:val="none"/>
                <w:lang w:eastAsia="zh-CN"/>
              </w:rPr>
              <w:t>x</w:t>
            </w:r>
          </w:p>
        </w:tc>
        <w:tc>
          <w:tcPr>
            <w:tcW w:w="1037" w:type="dxa"/>
          </w:tcPr>
          <w:p>
            <w:pPr>
              <w:pStyle w:val="29"/>
              <w:rPr>
                <w:highlight w:val="none"/>
              </w:rPr>
            </w:pPr>
          </w:p>
        </w:tc>
        <w:tc>
          <w:tcPr>
            <w:tcW w:w="850" w:type="dxa"/>
          </w:tcPr>
          <w:p>
            <w:pPr>
              <w:pStyle w:val="29"/>
              <w:rPr>
                <w:highlight w:val="none"/>
              </w:rPr>
            </w:pPr>
          </w:p>
        </w:tc>
        <w:tc>
          <w:tcPr>
            <w:tcW w:w="851" w:type="dxa"/>
          </w:tcPr>
          <w:p>
            <w:pPr>
              <w:pStyle w:val="29"/>
              <w:rPr>
                <w:highlight w:val="none"/>
              </w:rPr>
            </w:pPr>
          </w:p>
        </w:tc>
        <w:tc>
          <w:tcPr>
            <w:tcW w:w="1752" w:type="dxa"/>
          </w:tcPr>
          <w:p>
            <w:pPr>
              <w:pStyle w:val="29"/>
              <w:rPr>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pPr>
        <w:pStyle w:val="4"/>
        <w:rPr>
          <w:highlight w:val="none"/>
        </w:rPr>
      </w:pPr>
      <w:r>
        <w:rPr>
          <w:highlight w:val="none"/>
        </w:rPr>
        <w:t>This work item is a …</w:t>
      </w:r>
    </w:p>
    <w:p>
      <w:pPr>
        <w:pStyle w:val="25"/>
        <w:rPr>
          <w:highlight w:val="none"/>
        </w:rPr>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rFonts w:hint="eastAsia" w:eastAsiaTheme="minorEastAsia"/>
                <w:highlight w:val="none"/>
                <w:lang w:val="en-US" w:eastAsia="zh-CN"/>
              </w:rPr>
            </w:pPr>
            <w:r>
              <w:rPr>
                <w:rFonts w:hint="eastAsia"/>
                <w:highlight w:val="none"/>
                <w:lang w:val="en-US" w:eastAsia="zh-CN"/>
              </w:rPr>
              <w:t>X</w:t>
            </w:r>
          </w:p>
        </w:tc>
        <w:tc>
          <w:tcPr>
            <w:tcW w:w="2917" w:type="dxa"/>
            <w:shd w:val="clear" w:color="auto" w:fill="E0E0E0"/>
          </w:tcPr>
          <w:p>
            <w:pPr>
              <w:pStyle w:val="28"/>
              <w:ind w:right="-99"/>
              <w:jc w:val="left"/>
              <w:rPr>
                <w:b w:val="0"/>
                <w:bCs/>
                <w:color w:val="0000FF"/>
                <w:highlight w:val="none"/>
              </w:rPr>
            </w:pPr>
            <w:r>
              <w:rPr>
                <w:b w:val="0"/>
                <w:bCs/>
                <w:color w:val="0000FF"/>
                <w:sz w:val="20"/>
                <w:highlight w:val="none"/>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highlight w:val="none"/>
                <w:lang w:eastAsia="zh-CN"/>
              </w:rPr>
            </w:pPr>
          </w:p>
        </w:tc>
        <w:tc>
          <w:tcPr>
            <w:tcW w:w="2917" w:type="dxa"/>
            <w:shd w:val="clear" w:color="auto" w:fill="E0E0E0"/>
          </w:tcPr>
          <w:p>
            <w:pPr>
              <w:pStyle w:val="28"/>
              <w:ind w:right="-99"/>
              <w:jc w:val="left"/>
              <w:rPr>
                <w:b w:val="0"/>
                <w:bCs/>
                <w:color w:val="auto"/>
                <w:highlight w:val="none"/>
              </w:rPr>
            </w:pPr>
            <w:r>
              <w:rPr>
                <w:b w:val="0"/>
                <w:bCs/>
                <w:color w:val="auto"/>
                <w:sz w:val="20"/>
                <w:highlight w:val="none"/>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highlight w:val="none"/>
              </w:rPr>
            </w:pPr>
          </w:p>
        </w:tc>
        <w:tc>
          <w:tcPr>
            <w:tcW w:w="2917" w:type="dxa"/>
            <w:shd w:val="clear" w:color="auto" w:fill="E0E0E0"/>
          </w:tcPr>
          <w:p>
            <w:pPr>
              <w:pStyle w:val="28"/>
              <w:ind w:right="-99"/>
              <w:jc w:val="left"/>
              <w:rPr>
                <w:b w:val="0"/>
                <w:bCs/>
                <w:color w:val="auto"/>
                <w:highlight w:val="none"/>
              </w:rPr>
            </w:pPr>
            <w:r>
              <w:rPr>
                <w:b w:val="0"/>
                <w:bCs/>
                <w:color w:val="auto"/>
                <w:sz w:val="20"/>
                <w:highlight w:val="none"/>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highlight w:val="none"/>
              </w:rPr>
            </w:pPr>
          </w:p>
        </w:tc>
        <w:tc>
          <w:tcPr>
            <w:tcW w:w="2917" w:type="dxa"/>
            <w:shd w:val="clear" w:color="auto" w:fill="E0E0E0"/>
          </w:tcPr>
          <w:p>
            <w:pPr>
              <w:pStyle w:val="28"/>
              <w:ind w:right="-99"/>
              <w:jc w:val="left"/>
              <w:rPr>
                <w:b w:val="0"/>
                <w:bCs/>
                <w:color w:val="auto"/>
                <w:highlight w:val="none"/>
              </w:rPr>
            </w:pPr>
            <w:r>
              <w:rPr>
                <w:b w:val="0"/>
                <w:bCs/>
                <w:color w:val="auto"/>
                <w:sz w:val="20"/>
                <w:highlight w:val="none"/>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highlight w:val="none"/>
              </w:rPr>
            </w:pPr>
          </w:p>
        </w:tc>
        <w:tc>
          <w:tcPr>
            <w:tcW w:w="2917" w:type="dxa"/>
            <w:shd w:val="clear" w:color="auto" w:fill="E0E0E0"/>
          </w:tcPr>
          <w:p>
            <w:pPr>
              <w:pStyle w:val="28"/>
              <w:ind w:right="-99"/>
              <w:jc w:val="left"/>
              <w:rPr>
                <w:b w:val="0"/>
                <w:bCs/>
                <w:color w:val="auto"/>
                <w:highlight w:val="none"/>
              </w:rPr>
            </w:pPr>
            <w:r>
              <w:rPr>
                <w:b w:val="0"/>
                <w:bCs/>
                <w:color w:val="auto"/>
                <w:sz w:val="20"/>
                <w:highlight w:val="none"/>
              </w:rPr>
              <w:t>Normative – Other*</w:t>
            </w:r>
          </w:p>
        </w:tc>
      </w:tr>
    </w:tbl>
    <w:p>
      <w:pPr>
        <w:ind w:right="-99"/>
        <w:rPr>
          <w:b/>
          <w:highlight w:val="none"/>
        </w:rPr>
      </w:pPr>
      <w:r>
        <w:rPr>
          <w:b/>
          <w:highlight w:val="none"/>
        </w:rPr>
        <w:t>* Other = e.g. testing</w:t>
      </w:r>
    </w:p>
    <w:p>
      <w:pPr>
        <w:ind w:right="-99"/>
        <w:rPr>
          <w:b/>
          <w:highlight w:val="none"/>
        </w:rPr>
      </w:pP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2.2</w:t>
      </w:r>
      <w:r>
        <w:rPr>
          <w:b w:val="0"/>
          <w:sz w:val="32"/>
          <w:highlight w:val="none"/>
          <w:lang w:eastAsia="ja-JP"/>
        </w:rPr>
        <w:tab/>
      </w:r>
      <w:r>
        <w:rPr>
          <w:b w:val="0"/>
          <w:sz w:val="32"/>
          <w:highlight w:val="none"/>
          <w:lang w:eastAsia="ja-JP"/>
        </w:rPr>
        <w:t>Parent Work Item</w:t>
      </w:r>
    </w:p>
    <w:p>
      <w:pPr>
        <w:pStyle w:val="25"/>
        <w:rPr>
          <w:highlight w:val="none"/>
        </w:rPr>
      </w:pPr>
      <w:r>
        <w:rPr>
          <w:highlight w:val="none"/>
        </w:rPr>
        <w:t xml:space="preserve"> </w:t>
      </w:r>
    </w:p>
    <w:p>
      <w:pPr>
        <w:rPr>
          <w:highlight w:val="none"/>
        </w:rPr>
      </w:pPr>
      <w:r>
        <w:rPr>
          <w:highlight w:val="none"/>
        </w:rP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850"/>
        <w:gridCol w:w="992"/>
        <w:gridCol w:w="5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shd w:val="clear" w:color="auto" w:fill="E0E0E0"/>
          </w:tcPr>
          <w:p>
            <w:pPr>
              <w:pStyle w:val="28"/>
              <w:ind w:right="-99"/>
              <w:jc w:val="left"/>
              <w:rPr>
                <w:highlight w:val="none"/>
              </w:rPr>
            </w:pPr>
            <w:r>
              <w:rPr>
                <w:highlight w:val="none"/>
              </w:rPr>
              <w:t>Acronym</w:t>
            </w:r>
          </w:p>
        </w:tc>
        <w:tc>
          <w:tcPr>
            <w:tcW w:w="850" w:type="dxa"/>
            <w:shd w:val="clear" w:color="auto" w:fill="E0E0E0"/>
          </w:tcPr>
          <w:p>
            <w:pPr>
              <w:pStyle w:val="28"/>
              <w:ind w:right="-99"/>
              <w:jc w:val="left"/>
              <w:rPr>
                <w:highlight w:val="none"/>
              </w:rPr>
            </w:pPr>
            <w:r>
              <w:rPr>
                <w:highlight w:val="none"/>
              </w:rPr>
              <w:t>Working Group</w:t>
            </w:r>
          </w:p>
        </w:tc>
        <w:tc>
          <w:tcPr>
            <w:tcW w:w="992" w:type="dxa"/>
            <w:shd w:val="clear" w:color="auto" w:fill="E0E0E0"/>
          </w:tcPr>
          <w:p>
            <w:pPr>
              <w:pStyle w:val="28"/>
              <w:ind w:right="-99"/>
              <w:jc w:val="left"/>
              <w:rPr>
                <w:highlight w:val="none"/>
              </w:rPr>
            </w:pPr>
            <w:r>
              <w:rPr>
                <w:highlight w:val="none"/>
              </w:rPr>
              <w:t>Unique ID</w:t>
            </w:r>
          </w:p>
        </w:tc>
        <w:tc>
          <w:tcPr>
            <w:tcW w:w="5919" w:type="dxa"/>
            <w:shd w:val="clear" w:color="auto" w:fill="E0E0E0"/>
          </w:tcPr>
          <w:p>
            <w:pPr>
              <w:pStyle w:val="28"/>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7"/>
              <w:rPr>
                <w:highlight w:val="none"/>
              </w:rPr>
            </w:pPr>
          </w:p>
        </w:tc>
        <w:tc>
          <w:tcPr>
            <w:tcW w:w="850" w:type="dxa"/>
          </w:tcPr>
          <w:p>
            <w:pPr>
              <w:pStyle w:val="27"/>
              <w:rPr>
                <w:highlight w:val="none"/>
              </w:rPr>
            </w:pPr>
          </w:p>
        </w:tc>
        <w:tc>
          <w:tcPr>
            <w:tcW w:w="992" w:type="dxa"/>
          </w:tcPr>
          <w:p>
            <w:pPr>
              <w:pStyle w:val="27"/>
              <w:rPr>
                <w:highlight w:val="none"/>
              </w:rPr>
            </w:pPr>
          </w:p>
        </w:tc>
        <w:tc>
          <w:tcPr>
            <w:tcW w:w="5919" w:type="dxa"/>
          </w:tcPr>
          <w:p>
            <w:pPr>
              <w:pStyle w:val="2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7"/>
              <w:rPr>
                <w:highlight w:val="none"/>
              </w:rPr>
            </w:pPr>
          </w:p>
        </w:tc>
        <w:tc>
          <w:tcPr>
            <w:tcW w:w="850" w:type="dxa"/>
          </w:tcPr>
          <w:p>
            <w:pPr>
              <w:pStyle w:val="27"/>
              <w:rPr>
                <w:highlight w:val="none"/>
              </w:rPr>
            </w:pPr>
          </w:p>
        </w:tc>
        <w:tc>
          <w:tcPr>
            <w:tcW w:w="992" w:type="dxa"/>
          </w:tcPr>
          <w:p>
            <w:pPr>
              <w:pStyle w:val="27"/>
              <w:rPr>
                <w:highlight w:val="none"/>
              </w:rPr>
            </w:pPr>
          </w:p>
        </w:tc>
        <w:tc>
          <w:tcPr>
            <w:tcW w:w="5919" w:type="dxa"/>
          </w:tcPr>
          <w:p>
            <w:pPr>
              <w:pStyle w:val="27"/>
              <w:rPr>
                <w:rFonts w:eastAsia="Times New Roman"/>
                <w:highlight w:val="none"/>
                <w:lang w:eastAsia="en-GB"/>
              </w:rPr>
            </w:pPr>
          </w:p>
        </w:tc>
      </w:tr>
    </w:tbl>
    <w:p>
      <w:pPr>
        <w:rPr>
          <w:highlight w:val="none"/>
        </w:rPr>
      </w:pPr>
    </w:p>
    <w:p>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rPr>
                <w:highlight w:val="none"/>
              </w:rPr>
            </w:pPr>
            <w:r>
              <w:rPr>
                <w:highlight w:val="none"/>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rPr>
                <w:highlight w:val="none"/>
              </w:rPr>
            </w:pPr>
            <w:r>
              <w:rPr>
                <w:highlight w:val="none"/>
              </w:rPr>
              <w:t>Unique ID</w:t>
            </w:r>
          </w:p>
        </w:tc>
        <w:tc>
          <w:tcPr>
            <w:tcW w:w="3326" w:type="dxa"/>
            <w:shd w:val="clear" w:color="auto" w:fill="E0E0E0"/>
          </w:tcPr>
          <w:p>
            <w:pPr>
              <w:pStyle w:val="28"/>
              <w:rPr>
                <w:highlight w:val="none"/>
              </w:rPr>
            </w:pPr>
            <w:r>
              <w:rPr>
                <w:highlight w:val="none"/>
              </w:rPr>
              <w:t>Title</w:t>
            </w:r>
          </w:p>
        </w:tc>
        <w:tc>
          <w:tcPr>
            <w:tcW w:w="5099" w:type="dxa"/>
            <w:shd w:val="clear" w:color="auto" w:fill="E0E0E0"/>
          </w:tcPr>
          <w:p>
            <w:pPr>
              <w:pStyle w:val="28"/>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highlight w:val="none"/>
              </w:rPr>
            </w:pPr>
          </w:p>
        </w:tc>
        <w:tc>
          <w:tcPr>
            <w:tcW w:w="3326" w:type="dxa"/>
          </w:tcPr>
          <w:p>
            <w:pPr>
              <w:pStyle w:val="27"/>
              <w:rPr>
                <w:highlight w:val="none"/>
              </w:rPr>
            </w:pPr>
          </w:p>
        </w:tc>
        <w:tc>
          <w:tcPr>
            <w:tcW w:w="5099" w:type="dxa"/>
          </w:tcPr>
          <w:p>
            <w:pPr>
              <w:pStyle w:val="25"/>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highlight w:val="none"/>
              </w:rPr>
            </w:pPr>
          </w:p>
        </w:tc>
        <w:tc>
          <w:tcPr>
            <w:tcW w:w="3326" w:type="dxa"/>
          </w:tcPr>
          <w:p>
            <w:pPr>
              <w:pStyle w:val="27"/>
              <w:rPr>
                <w:highlight w:val="none"/>
              </w:rPr>
            </w:pPr>
          </w:p>
        </w:tc>
        <w:tc>
          <w:tcPr>
            <w:tcW w:w="5099" w:type="dxa"/>
          </w:tcPr>
          <w:p>
            <w:pPr>
              <w:pStyle w:val="25"/>
              <w:rPr>
                <w:highlight w:val="none"/>
              </w:rPr>
            </w:pPr>
          </w:p>
        </w:tc>
      </w:tr>
    </w:tbl>
    <w:p>
      <w:pPr>
        <w:pStyle w:val="30"/>
        <w:rPr>
          <w:highlight w:val="none"/>
        </w:rPr>
      </w:pPr>
    </w:p>
    <w:p>
      <w:pPr>
        <w:pStyle w:val="25"/>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As 5G deployment is going on, business momentum of 5G has advanced the digital transformation of the society, boundaries of network capability have been expanded. On the one hand, the merging of new communication scenarios and requirements drives network capability enhancement. On the other hand, some gaps and challenges appears after the deep integration of 5G service capabilities and practice. In addition, new technology trends such as cloud computing, large language model and big data also impact communication system. All these drivers motivate network to enable more services.</w:t>
      </w:r>
    </w:p>
    <w:p>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 xml:space="preserve">6G will act as a service enabler, integrating communication capability with other features such as AI, sensing, computing, security, etc. These features will be integrated and 6G network can provide comprehensive services based on these integrated capabilities. Different from 5G, 6G will not only customize services according to the requirements from applications or verticals, </w:t>
      </w:r>
      <w:r>
        <w:rPr>
          <w:rFonts w:eastAsia="宋体"/>
          <w:lang w:val="en-US" w:eastAsia="zh-CN"/>
        </w:rPr>
        <w:t>but also facilitate</w:t>
      </w:r>
      <w:r>
        <w:rPr>
          <w:rFonts w:hint="eastAsia" w:eastAsia="宋体"/>
          <w:lang w:val="en-US" w:eastAsia="zh-CN"/>
        </w:rPr>
        <w:t xml:space="preserve"> </w:t>
      </w:r>
      <w:r>
        <w:rPr>
          <w:rFonts w:eastAsia="宋体"/>
          <w:lang w:val="en-US" w:eastAsia="zh-CN"/>
        </w:rPr>
        <w:t>fast, flexible deployment of customization services for consumer markets</w:t>
      </w:r>
      <w:r>
        <w:rPr>
          <w:rFonts w:hint="eastAsia" w:eastAsia="宋体"/>
          <w:lang w:val="en-US" w:eastAsia="zh-CN"/>
        </w:rPr>
        <w:t>. At the same time, this kind of service enabler will also leave the space for forward compatibility for unknown scenarios and related techniques.</w:t>
      </w:r>
    </w:p>
    <w:p>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 xml:space="preserve">This study is aiming at identifying the requirements from users and verticals by collecting and analyzing use cases, which can not be satisfied by existing 5G and 5G-A networks and need to be supported in 6G. This work will involve an overall study to start with, followed by several potential individual building blocks studies for further requirement and KPIs consolidations. </w:t>
      </w:r>
      <w:r>
        <w:rPr>
          <w:rFonts w:eastAsia="Times New Roman"/>
        </w:rPr>
        <w:t xml:space="preserve">The use cases and high-level requirements can be sourced </w:t>
      </w:r>
      <w:r>
        <w:rPr>
          <w:rFonts w:hint="eastAsia" w:eastAsia="宋体"/>
          <w:lang w:val="en-US" w:eastAsia="zh-CN"/>
        </w:rPr>
        <w:t>or referenced in</w:t>
      </w:r>
      <w:r>
        <w:rPr>
          <w:rFonts w:eastAsia="Times New Roman"/>
        </w:rPr>
        <w:t xml:space="preserve"> existing work </w:t>
      </w:r>
      <w:r>
        <w:rPr>
          <w:rFonts w:hint="eastAsia" w:eastAsia="宋体"/>
          <w:lang w:val="en-US" w:eastAsia="zh-CN"/>
        </w:rPr>
        <w:t xml:space="preserve">from the other standardization groups or organization </w:t>
      </w:r>
      <w:r>
        <w:rPr>
          <w:rFonts w:eastAsia="Times New Roman"/>
        </w:rPr>
        <w:t>such as  ITU-R</w:t>
      </w:r>
      <w:r>
        <w:rPr>
          <w:rFonts w:hint="eastAsia" w:eastAsia="宋体"/>
          <w:lang w:val="en-US" w:eastAsia="zh-CN"/>
        </w:rPr>
        <w:t xml:space="preserve">, </w:t>
      </w:r>
      <w:r>
        <w:rPr>
          <w:rFonts w:eastAsia="Times New Roman"/>
        </w:rPr>
        <w:t>IMT-20</w:t>
      </w:r>
      <w:r>
        <w:rPr>
          <w:rFonts w:hint="eastAsia" w:eastAsia="宋体"/>
          <w:lang w:val="en-US" w:eastAsia="zh-CN"/>
        </w:rPr>
        <w:t>3</w:t>
      </w:r>
      <w:r>
        <w:rPr>
          <w:rFonts w:eastAsia="Times New Roman"/>
        </w:rPr>
        <w:t>0 (</w:t>
      </w:r>
      <w:r>
        <w:rPr>
          <w:rFonts w:hint="eastAsia" w:eastAsia="宋体"/>
          <w:lang w:val="en-US" w:eastAsia="zh-CN"/>
        </w:rPr>
        <w:t>6</w:t>
      </w:r>
      <w:r>
        <w:rPr>
          <w:rFonts w:eastAsia="Times New Roman"/>
        </w:rPr>
        <w:t xml:space="preserve">G) Promotion </w:t>
      </w:r>
      <w:r>
        <w:rPr>
          <w:rFonts w:hint="eastAsia" w:eastAsia="宋体"/>
          <w:lang w:val="en-US" w:eastAsia="zh-CN"/>
        </w:rPr>
        <w:t>Group, Hexa-X-II, etc.</w:t>
      </w:r>
    </w:p>
    <w:p>
      <w:pPr>
        <w:overflowPunct w:val="0"/>
        <w:autoSpaceDE w:val="0"/>
        <w:autoSpaceDN w:val="0"/>
        <w:adjustRightInd w:val="0"/>
        <w:spacing w:after="180"/>
        <w:textAlignment w:val="baseline"/>
        <w:rPr>
          <w:rFonts w:hint="default" w:eastAsia="宋体"/>
          <w:highlight w:val="none"/>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pPr>
        <w:overflowPunct w:val="0"/>
        <w:autoSpaceDE w:val="0"/>
        <w:autoSpaceDN w:val="0"/>
        <w:adjustRightInd w:val="0"/>
        <w:spacing w:after="180"/>
        <w:ind w:right="-99"/>
        <w:textAlignment w:val="baseline"/>
        <w:rPr>
          <w:rFonts w:hint="eastAsia" w:eastAsia="宋体"/>
          <w:bCs/>
          <w:lang w:val="en-US" w:eastAsia="zh-CN"/>
        </w:rPr>
      </w:pPr>
      <w:r>
        <w:rPr>
          <w:rFonts w:hint="eastAsia" w:eastAsia="Times New Roman"/>
          <w:highlight w:val="none"/>
          <w:lang w:eastAsia="zh-CN"/>
        </w:rPr>
        <w:t>This study is aiming at identifying use cases and defining potential requirements</w:t>
      </w:r>
      <w:r>
        <w:rPr>
          <w:rFonts w:eastAsia="Times New Roman"/>
          <w:bCs/>
        </w:rPr>
        <w:t xml:space="preserve"> to enable 3GPP network to support the needs of new services</w:t>
      </w:r>
      <w:r>
        <w:rPr>
          <w:rFonts w:hint="eastAsia" w:eastAsia="宋体"/>
          <w:bCs/>
          <w:lang w:val="en-US" w:eastAsia="zh-CN"/>
        </w:rPr>
        <w:t xml:space="preserve"> and scenarios, including immersive communication, ubiquitous connectivity, integrated sensing and communication, AI, vertical specific capabilities including </w:t>
      </w:r>
      <w:r>
        <w:rPr>
          <w:rFonts w:eastAsia="宋体"/>
          <w:bCs/>
          <w:lang w:val="en-US" w:eastAsia="zh-CN"/>
        </w:rPr>
        <w:t>massive communication</w:t>
      </w:r>
      <w:r>
        <w:rPr>
          <w:rFonts w:hint="eastAsia" w:eastAsia="宋体"/>
          <w:bCs/>
          <w:lang w:val="en-US" w:eastAsia="zh-CN"/>
        </w:rPr>
        <w:t>, coordination of networking and computing, end-to-end energy efficiency, enhancement of autonomous networking and operation, etc</w:t>
      </w:r>
      <w:r>
        <w:rPr>
          <w:rFonts w:eastAsia="Times New Roman"/>
          <w:bCs/>
        </w:rPr>
        <w:t>.</w:t>
      </w:r>
      <w:r>
        <w:rPr>
          <w:rFonts w:hint="eastAsia" w:eastAsia="宋体"/>
          <w:bCs/>
          <w:lang w:val="en-US" w:eastAsia="zh-CN"/>
        </w:rPr>
        <w:t xml:space="preserve"> </w:t>
      </w:r>
    </w:p>
    <w:p>
      <w:pPr>
        <w:overflowPunct w:val="0"/>
        <w:autoSpaceDE w:val="0"/>
        <w:autoSpaceDN w:val="0"/>
        <w:adjustRightInd w:val="0"/>
        <w:spacing w:after="180"/>
        <w:ind w:left="709"/>
        <w:textAlignment w:val="baseline"/>
        <w:rPr>
          <w:rFonts w:hint="default" w:eastAsia="Times New Roman"/>
          <w:lang w:val="en-US" w:eastAsia="zh-CN"/>
        </w:rPr>
      </w:pPr>
      <w:r>
        <w:rPr>
          <w:rFonts w:hint="eastAsia" w:eastAsia="Times New Roman"/>
          <w:lang w:val="en-US" w:eastAsia="zh-CN"/>
        </w:rPr>
        <w:t>Note: For some technologies such as integrated sensing and communication, ambient IoT, it needs to consider the reuse of the requirements defined in R19 stage 1 normative work which haven't been studied in R19 stage 2 work .</w:t>
      </w:r>
    </w:p>
    <w:p>
      <w:pPr>
        <w:overflowPunct w:val="0"/>
        <w:autoSpaceDE w:val="0"/>
        <w:autoSpaceDN w:val="0"/>
        <w:adjustRightInd w:val="0"/>
        <w:spacing w:after="180"/>
        <w:ind w:right="-99"/>
        <w:textAlignment w:val="baseline"/>
        <w:rPr>
          <w:rFonts w:eastAsia="Times New Roman"/>
          <w:bCs/>
        </w:rPr>
      </w:pPr>
      <w:r>
        <w:rPr>
          <w:rFonts w:eastAsia="Times New Roman"/>
          <w:bCs/>
        </w:rPr>
        <w:t>Analysis will also be made on which legacy services and requirements from the existing 3GPP systems need to be included</w:t>
      </w:r>
      <w:r>
        <w:rPr>
          <w:rFonts w:hint="eastAsia" w:eastAsia="宋体"/>
          <w:bCs/>
          <w:lang w:val="en-US" w:eastAsia="zh-CN"/>
        </w:rPr>
        <w:t xml:space="preserve"> (e.g. SMS and IMS Multimedia Telephony)</w:t>
      </w:r>
      <w:r>
        <w:rPr>
          <w:rFonts w:eastAsia="Times New Roman"/>
          <w:bCs/>
        </w:rPr>
        <w:t xml:space="preserve">.  </w:t>
      </w:r>
    </w:p>
    <w:p>
      <w:pPr>
        <w:overflowPunct w:val="0"/>
        <w:autoSpaceDE w:val="0"/>
        <w:autoSpaceDN w:val="0"/>
        <w:adjustRightInd w:val="0"/>
        <w:spacing w:after="180"/>
        <w:textAlignment w:val="baseline"/>
        <w:rPr>
          <w:rFonts w:eastAsia="Times New Roman"/>
        </w:rPr>
      </w:pPr>
      <w:r>
        <w:rPr>
          <w:rFonts w:eastAsia="Times New Roman"/>
        </w:rPr>
        <w:t>The expected work flow is as follows:</w:t>
      </w:r>
    </w:p>
    <w:p>
      <w:pPr>
        <w:numPr>
          <w:ilvl w:val="0"/>
          <w:numId w:val="1"/>
        </w:numPr>
        <w:overflowPunct w:val="0"/>
        <w:autoSpaceDE w:val="0"/>
        <w:autoSpaceDN w:val="0"/>
        <w:adjustRightInd w:val="0"/>
        <w:spacing w:after="180"/>
        <w:ind w:left="709" w:hanging="709"/>
        <w:textAlignment w:val="baseline"/>
        <w:rPr>
          <w:rFonts w:eastAsia="Times New Roman"/>
        </w:rPr>
      </w:pPr>
      <w:r>
        <w:rPr>
          <w:rFonts w:hint="eastAsia" w:eastAsia="宋体"/>
          <w:lang w:val="en-US" w:eastAsia="zh-CN"/>
        </w:rPr>
        <w:t xml:space="preserve">Provide overview of 6G system, and identify key principles of 6G service study, and proposed an initial list of sections (e.g. </w:t>
      </w:r>
      <w:r>
        <w:rPr>
          <w:rFonts w:hint="eastAsia" w:eastAsia="宋体"/>
          <w:bCs/>
          <w:lang w:val="en-US" w:eastAsia="zh-CN"/>
        </w:rPr>
        <w:t xml:space="preserve">immersive communication, ubiquitous connectivity, AI, vertical specific capabilities including </w:t>
      </w:r>
      <w:r>
        <w:rPr>
          <w:rFonts w:eastAsia="宋体"/>
          <w:bCs/>
          <w:lang w:val="en-US" w:eastAsia="zh-CN"/>
        </w:rPr>
        <w:t>massive communication</w:t>
      </w:r>
      <w:r>
        <w:rPr>
          <w:rFonts w:hint="eastAsia" w:eastAsia="宋体"/>
          <w:bCs/>
          <w:lang w:val="en-US" w:eastAsia="zh-CN"/>
        </w:rPr>
        <w:t>, coordination of networking and computing, end-to-end energy efficiency, enhancement on autonomous networking and operation, integrated sensing and communication, etc.</w:t>
      </w:r>
      <w:r>
        <w:rPr>
          <w:rFonts w:hint="eastAsia" w:eastAsia="宋体"/>
          <w:lang w:val="en-US" w:eastAsia="zh-CN"/>
        </w:rPr>
        <w:t xml:space="preserve">) </w:t>
      </w:r>
      <w:r>
        <w:rPr>
          <w:rFonts w:eastAsia="宋体"/>
          <w:lang w:val="en-US" w:eastAsia="zh-CN"/>
        </w:rPr>
        <w:t>before RAN and SA2 studies start</w:t>
      </w:r>
      <w:r>
        <w:rPr>
          <w:rFonts w:hint="eastAsia" w:eastAsia="宋体"/>
          <w:lang w:val="en-US" w:eastAsia="zh-CN"/>
        </w:rPr>
        <w:t xml:space="preserve">. </w:t>
      </w:r>
    </w:p>
    <w:p>
      <w:pPr>
        <w:numPr>
          <w:ilvl w:val="0"/>
          <w:numId w:val="1"/>
        </w:numPr>
        <w:overflowPunct w:val="0"/>
        <w:autoSpaceDE w:val="0"/>
        <w:autoSpaceDN w:val="0"/>
        <w:adjustRightInd w:val="0"/>
        <w:spacing w:after="180"/>
        <w:ind w:left="709" w:hanging="709"/>
        <w:textAlignment w:val="baseline"/>
        <w:rPr>
          <w:rFonts w:eastAsia="Times New Roman"/>
        </w:rPr>
      </w:pPr>
      <w:r>
        <w:rPr>
          <w:rFonts w:hint="eastAsia" w:eastAsia="宋体"/>
          <w:lang w:val="en-US" w:eastAsia="zh-CN"/>
        </w:rPr>
        <w:t>Collect</w:t>
      </w:r>
      <w:r>
        <w:rPr>
          <w:rFonts w:eastAsia="Times New Roman"/>
        </w:rPr>
        <w:t xml:space="preserve"> use cases covering various scenarios and identify the related potential requirements</w:t>
      </w:r>
      <w:r>
        <w:rPr>
          <w:rFonts w:hint="eastAsia" w:eastAsia="宋体"/>
          <w:lang w:val="en-US" w:eastAsia="zh-CN"/>
        </w:rPr>
        <w:t xml:space="preserve"> </w:t>
      </w:r>
      <w:r>
        <w:rPr>
          <w:rFonts w:eastAsia="Times New Roman"/>
        </w:rPr>
        <w:t>in corresponding sections</w:t>
      </w:r>
      <w:r>
        <w:rPr>
          <w:rFonts w:hint="eastAsia" w:eastAsia="宋体"/>
          <w:lang w:val="en-US" w:eastAsia="zh-CN"/>
        </w:rPr>
        <w:t>.</w:t>
      </w:r>
    </w:p>
    <w:p>
      <w:pPr>
        <w:numPr>
          <w:ilvl w:val="0"/>
          <w:numId w:val="1"/>
        </w:numPr>
        <w:overflowPunct w:val="0"/>
        <w:autoSpaceDE w:val="0"/>
        <w:autoSpaceDN w:val="0"/>
        <w:adjustRightInd w:val="0"/>
        <w:spacing w:after="180"/>
        <w:ind w:left="709" w:hanging="709"/>
        <w:textAlignment w:val="baseline"/>
        <w:rPr>
          <w:rFonts w:eastAsia="Times New Roman"/>
        </w:rPr>
      </w:pPr>
      <w:r>
        <w:rPr>
          <w:rFonts w:hint="eastAsia" w:eastAsia="宋体"/>
          <w:lang w:val="en-US" w:eastAsia="zh-CN"/>
        </w:rPr>
        <w:t xml:space="preserve">Propose building block studies based on different sections. </w:t>
      </w:r>
    </w:p>
    <w:p>
      <w:pPr>
        <w:numPr>
          <w:ilvl w:val="0"/>
          <w:numId w:val="1"/>
        </w:numPr>
        <w:overflowPunct w:val="0"/>
        <w:autoSpaceDE w:val="0"/>
        <w:autoSpaceDN w:val="0"/>
        <w:adjustRightInd w:val="0"/>
        <w:spacing w:after="180"/>
        <w:ind w:left="709" w:hanging="709"/>
        <w:textAlignment w:val="baseline"/>
        <w:rPr>
          <w:rFonts w:eastAsia="Times New Roman"/>
        </w:rPr>
      </w:pPr>
      <w:r>
        <w:rPr>
          <w:rFonts w:hint="eastAsia" w:eastAsia="宋体"/>
          <w:lang w:val="en-US" w:eastAsia="zh-CN"/>
        </w:rPr>
        <w:t>For building block studies, r</w:t>
      </w:r>
      <w:r>
        <w:rPr>
          <w:rFonts w:eastAsia="Times New Roman"/>
        </w:rPr>
        <w:t xml:space="preserve">eview and consolidate the resulting potential requirements </w:t>
      </w:r>
      <w:r>
        <w:rPr>
          <w:rFonts w:hint="eastAsia" w:eastAsia="宋体"/>
          <w:lang w:val="en-US" w:eastAsia="zh-CN"/>
        </w:rPr>
        <w:t xml:space="preserve">for </w:t>
      </w:r>
      <w:r>
        <w:rPr>
          <w:rFonts w:eastAsia="宋体"/>
          <w:lang w:val="en-US" w:eastAsia="zh-CN"/>
        </w:rPr>
        <w:t>the corresponding</w:t>
      </w:r>
      <w:r>
        <w:rPr>
          <w:rFonts w:hint="eastAsia" w:eastAsia="宋体"/>
          <w:lang w:val="en-US" w:eastAsia="zh-CN"/>
        </w:rPr>
        <w:t xml:space="preserve"> sections in the TR.</w:t>
      </w:r>
    </w:p>
    <w:p>
      <w:pPr>
        <w:overflowPunct w:val="0"/>
        <w:autoSpaceDE w:val="0"/>
        <w:autoSpaceDN w:val="0"/>
        <w:adjustRightInd w:val="0"/>
        <w:spacing w:after="180"/>
        <w:ind w:left="709"/>
        <w:textAlignment w:val="baseline"/>
        <w:rPr>
          <w:rFonts w:hint="default" w:eastAsia="宋体"/>
          <w:lang w:val="en-US" w:eastAsia="zh-CN"/>
        </w:rPr>
      </w:pPr>
      <w:r>
        <w:rPr>
          <w:rFonts w:eastAsia="Times New Roman"/>
        </w:rPr>
        <w:t xml:space="preserve">Note: </w:t>
      </w:r>
      <w:r>
        <w:rPr>
          <w:rFonts w:hint="eastAsia" w:eastAsia="宋体"/>
          <w:lang w:val="en-US" w:eastAsia="zh-CN"/>
        </w:rPr>
        <w:t>I</w:t>
      </w:r>
      <w:r>
        <w:rPr>
          <w:rFonts w:eastAsia="Times New Roman"/>
        </w:rPr>
        <w:t xml:space="preserve">t is expected to start normative work on completed study items after Step </w:t>
      </w:r>
      <w:r>
        <w:rPr>
          <w:rFonts w:hint="eastAsia" w:eastAsia="宋体"/>
          <w:lang w:val="en-US" w:eastAsia="zh-CN"/>
        </w:rPr>
        <w:t>4</w:t>
      </w:r>
      <w:r>
        <w:rPr>
          <w:rFonts w:eastAsia="Times New Roman"/>
        </w:rPr>
        <w:t>.</w:t>
      </w:r>
      <w:r>
        <w:rPr>
          <w:rFonts w:hint="eastAsia" w:eastAsia="宋体"/>
          <w:lang w:val="en-US" w:eastAsia="zh-CN"/>
        </w:rP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bookmarkStart w:id="0" w:name="_GoBack"/>
      <w:bookmarkEnd w:id="0"/>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pPr>
        <w:rPr>
          <w:highlight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rPr>
                <w:highlight w:val="none"/>
              </w:rPr>
            </w:pPr>
            <w:r>
              <w:rPr>
                <w:highlight w:val="none"/>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rPr>
                <w:highlight w:val="none"/>
              </w:rPr>
            </w:pPr>
            <w:r>
              <w:rPr>
                <w:highlight w:val="none"/>
              </w:rPr>
              <w:t xml:space="preserve">Type </w:t>
            </w:r>
          </w:p>
        </w:tc>
        <w:tc>
          <w:tcPr>
            <w:tcW w:w="1134" w:type="dxa"/>
            <w:shd w:val="clear" w:color="auto" w:fill="D9D9D9"/>
            <w:tcMar>
              <w:left w:w="57" w:type="dxa"/>
              <w:right w:w="57" w:type="dxa"/>
            </w:tcMar>
          </w:tcPr>
          <w:p>
            <w:pPr>
              <w:pStyle w:val="28"/>
              <w:rPr>
                <w:highlight w:val="none"/>
              </w:rPr>
            </w:pPr>
            <w:r>
              <w:rPr>
                <w:highlight w:val="none"/>
              </w:rPr>
              <w:t>TS/TR number</w:t>
            </w:r>
          </w:p>
        </w:tc>
        <w:tc>
          <w:tcPr>
            <w:tcW w:w="2409" w:type="dxa"/>
            <w:shd w:val="clear" w:color="auto" w:fill="D9D9D9"/>
            <w:tcMar>
              <w:left w:w="57" w:type="dxa"/>
              <w:right w:w="57" w:type="dxa"/>
            </w:tcMar>
          </w:tcPr>
          <w:p>
            <w:pPr>
              <w:pStyle w:val="28"/>
              <w:rPr>
                <w:highlight w:val="none"/>
              </w:rPr>
            </w:pPr>
            <w:r>
              <w:rPr>
                <w:highlight w:val="none"/>
              </w:rPr>
              <w:t>Title</w:t>
            </w:r>
          </w:p>
        </w:tc>
        <w:tc>
          <w:tcPr>
            <w:tcW w:w="993" w:type="dxa"/>
            <w:shd w:val="clear" w:color="auto" w:fill="D9D9D9"/>
            <w:tcMar>
              <w:left w:w="57" w:type="dxa"/>
              <w:right w:w="57" w:type="dxa"/>
            </w:tcMar>
          </w:tcPr>
          <w:p>
            <w:pPr>
              <w:pStyle w:val="28"/>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pPr>
              <w:pStyle w:val="28"/>
              <w:rPr>
                <w:highlight w:val="none"/>
              </w:rPr>
            </w:pPr>
            <w:r>
              <w:rPr>
                <w:highlight w:val="none"/>
              </w:rPr>
              <w:t>For approval at TSG#</w:t>
            </w:r>
          </w:p>
        </w:tc>
        <w:tc>
          <w:tcPr>
            <w:tcW w:w="2186" w:type="dxa"/>
            <w:shd w:val="clear" w:color="auto" w:fill="D9D9D9"/>
            <w:tcMar>
              <w:left w:w="57" w:type="dxa"/>
              <w:right w:w="57" w:type="dxa"/>
            </w:tcMar>
          </w:tcPr>
          <w:p>
            <w:pPr>
              <w:pStyle w:val="28"/>
              <w:rPr>
                <w:highlight w:val="none"/>
              </w:rPr>
            </w:pPr>
            <w:r>
              <w:rPr>
                <w:highlight w:val="none"/>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rPr>
                <w:rFonts w:hint="default" w:eastAsiaTheme="minorEastAsia"/>
                <w:highlight w:val="none"/>
                <w:lang w:val="en-US" w:eastAsia="zh-CN"/>
              </w:rPr>
            </w:pPr>
            <w:r>
              <w:rPr>
                <w:rFonts w:hint="eastAsia"/>
                <w:highlight w:val="none"/>
                <w:lang w:val="en-US" w:eastAsia="zh-CN"/>
              </w:rPr>
              <w:t>TR 22.8xx</w:t>
            </w:r>
          </w:p>
        </w:tc>
        <w:tc>
          <w:tcPr>
            <w:tcW w:w="1134" w:type="dxa"/>
          </w:tcPr>
          <w:p>
            <w:pPr>
              <w:pStyle w:val="27"/>
              <w:rPr>
                <w:highlight w:val="none"/>
              </w:rPr>
            </w:pPr>
          </w:p>
        </w:tc>
        <w:tc>
          <w:tcPr>
            <w:tcW w:w="2409" w:type="dxa"/>
          </w:tcPr>
          <w:p>
            <w:pPr>
              <w:pStyle w:val="27"/>
              <w:rPr>
                <w:highlight w:val="none"/>
              </w:rPr>
            </w:pPr>
          </w:p>
        </w:tc>
        <w:tc>
          <w:tcPr>
            <w:tcW w:w="993" w:type="dxa"/>
          </w:tcPr>
          <w:p>
            <w:pPr>
              <w:pStyle w:val="27"/>
              <w:rPr>
                <w:rFonts w:hint="default"/>
                <w:highlight w:val="none"/>
                <w:lang w:val="en-US" w:eastAsia="zh-CN"/>
              </w:rPr>
            </w:pPr>
            <w:r>
              <w:rPr>
                <w:rFonts w:hint="eastAsia"/>
                <w:highlight w:val="none"/>
                <w:lang w:val="en-US" w:eastAsia="zh-CN"/>
              </w:rPr>
              <w:t>Sept. 2025</w:t>
            </w:r>
          </w:p>
        </w:tc>
        <w:tc>
          <w:tcPr>
            <w:tcW w:w="1074" w:type="dxa"/>
          </w:tcPr>
          <w:p>
            <w:pPr>
              <w:pStyle w:val="27"/>
              <w:rPr>
                <w:rFonts w:hint="default"/>
                <w:highlight w:val="none"/>
                <w:lang w:val="en-US" w:eastAsia="zh-CN"/>
              </w:rPr>
            </w:pPr>
            <w:r>
              <w:rPr>
                <w:rFonts w:hint="eastAsia"/>
                <w:highlight w:val="none"/>
                <w:lang w:val="en-US" w:eastAsia="zh-CN"/>
              </w:rPr>
              <w:t>Dec. 2025</w:t>
            </w:r>
          </w:p>
        </w:tc>
        <w:tc>
          <w:tcPr>
            <w:tcW w:w="2186" w:type="dxa"/>
          </w:tcPr>
          <w:p>
            <w:pPr>
              <w:pStyle w:val="27"/>
              <w:rPr>
                <w:rFonts w:hint="default" w:eastAsiaTheme="minorEastAsia"/>
                <w:highlight w:val="none"/>
                <w:lang w:val="en-US" w:eastAsia="zh-CN"/>
              </w:rPr>
            </w:pPr>
          </w:p>
        </w:tc>
      </w:tr>
    </w:tbl>
    <w:p>
      <w:pPr>
        <w:pStyle w:val="30"/>
        <w:rPr>
          <w:highlight w:val="none"/>
        </w:rPr>
      </w:pPr>
    </w:p>
    <w:p>
      <w:pPr>
        <w:rPr>
          <w:highlight w:val="none"/>
        </w:rPr>
      </w:pPr>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rPr>
                <w:highlight w:val="none"/>
              </w:rPr>
            </w:pPr>
            <w:r>
              <w:rPr>
                <w:highlight w:val="none"/>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pPr>
        <w:rPr>
          <w:rFonts w:hint="eastAsia"/>
          <w:highlight w:val="none"/>
          <w:lang w:val="en-US" w:eastAsia="zh-CN"/>
        </w:rPr>
      </w:pPr>
      <w:r>
        <w:rPr>
          <w:rFonts w:hint="eastAsia"/>
          <w:highlight w:val="none"/>
          <w:lang w:val="en-US" w:eastAsia="zh-CN"/>
        </w:rPr>
        <w:t xml:space="preserve"> </w:t>
      </w:r>
    </w:p>
    <w:p>
      <w:pPr>
        <w:pStyle w:val="25"/>
        <w:rPr>
          <w:rFonts w:hint="default"/>
          <w:i w:val="0"/>
          <w:highlight w:val="none"/>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pPr>
        <w:pStyle w:val="25"/>
        <w:rPr>
          <w:i w:val="0"/>
          <w:highlight w:val="none"/>
        </w:rPr>
      </w:pPr>
      <w:r>
        <w:rPr>
          <w:i w:val="0"/>
          <w:highlight w:val="none"/>
        </w:rPr>
        <w:t>SA1</w:t>
      </w:r>
    </w:p>
    <w:p>
      <w:pPr>
        <w:rPr>
          <w:highlight w:val="none"/>
        </w:rPr>
      </w:pPr>
    </w:p>
    <w:p>
      <w:pPr>
        <w:pStyle w:val="2"/>
        <w:keepLines/>
        <w:numPr>
          <w:ilvl w:val="0"/>
          <w:numId w:val="2"/>
        </w:numPr>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Aspects that involve other WGs</w:t>
      </w:r>
    </w:p>
    <w:p>
      <w:pPr>
        <w:numPr>
          <w:ilvl w:val="0"/>
          <w:numId w:val="0"/>
        </w:numPr>
        <w:rPr>
          <w:lang w:eastAsia="ja-JP"/>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Toyota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 xml:space="preserve">LG </w:t>
            </w:r>
            <w:r>
              <w:rPr>
                <w:rFonts w:hint="default" w:ascii="Arial" w:hAnsi="Arial" w:eastAsia="宋体" w:cs="Arial"/>
                <w:i w:val="0"/>
                <w:iCs w:val="0"/>
                <w:color w:val="000000"/>
                <w:kern w:val="0"/>
                <w:sz w:val="18"/>
                <w:szCs w:val="18"/>
                <w:u w:val="none"/>
                <w:lang w:val="en-US" w:eastAsia="zh-CN" w:bidi="ar"/>
              </w:rPr>
              <w:t>Uplus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vivo</w:t>
            </w:r>
            <w:r>
              <w:rPr>
                <w:rFonts w:hint="eastAsia" w:ascii="Arial" w:hAnsi="Arial" w:eastAsia="宋体" w:cs="Arial"/>
                <w:i w:val="0"/>
                <w:iCs w:val="0"/>
                <w:color w:val="000000"/>
                <w:kern w:val="0"/>
                <w:sz w:val="18"/>
                <w:szCs w:val="18"/>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r>
              <w:rPr>
                <w:rFonts w:hint="eastAsia" w:ascii="Arial" w:hAnsi="Arial" w:eastAsia="宋体" w:cs="Arial"/>
                <w:i w:val="0"/>
                <w:iCs w:val="0"/>
                <w:color w:val="000000"/>
                <w:kern w:val="0"/>
                <w:sz w:val="18"/>
                <w:szCs w:val="18"/>
                <w:u w:val="none"/>
                <w:lang w:val="en-US" w:eastAsia="zh-CN" w:bidi="ar"/>
              </w:rPr>
              <w:t>Asia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r>
              <w:rPr>
                <w:rFonts w:ascii="Arial" w:hAnsi="Arial" w:eastAsia="宋体" w:cs="Arial"/>
                <w:color w:val="000000"/>
                <w:sz w:val="18"/>
                <w:szCs w:val="18"/>
                <w:lang w:val="en-US" w:eastAsia="zh-CN" w:bidi="ar"/>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18"/>
                <w:szCs w:val="18"/>
                <w:u w:val="none"/>
                <w:lang w:val="en-US" w:eastAsia="zh-CN" w:bidi="ar"/>
              </w:rPr>
            </w:pPr>
          </w:p>
        </w:tc>
      </w:tr>
    </w:tbl>
    <w:p>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3AB45"/>
    <w:multiLevelType w:val="singleLevel"/>
    <w:tmpl w:val="1933AB45"/>
    <w:lvl w:ilvl="0" w:tentative="0">
      <w:start w:val="8"/>
      <w:numFmt w:val="decimal"/>
      <w:lvlText w:val="%1"/>
      <w:lvlJc w:val="left"/>
    </w:lvl>
  </w:abstractNum>
  <w:abstractNum w:abstractNumId="1">
    <w:nsid w:val="52F12B2B"/>
    <w:multiLevelType w:val="multilevel"/>
    <w:tmpl w:val="52F12B2B"/>
    <w:lvl w:ilvl="0" w:tentative="0">
      <w:start w:val="1"/>
      <w:numFmt w:val="decimal"/>
      <w:lvlText w:val="Step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A5F06"/>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2590C8E"/>
    <w:rsid w:val="0278366B"/>
    <w:rsid w:val="02E35998"/>
    <w:rsid w:val="038458FE"/>
    <w:rsid w:val="03B96415"/>
    <w:rsid w:val="04957EFE"/>
    <w:rsid w:val="049B18B6"/>
    <w:rsid w:val="04BA0F73"/>
    <w:rsid w:val="04DE120A"/>
    <w:rsid w:val="05852C9D"/>
    <w:rsid w:val="06A01168"/>
    <w:rsid w:val="06C46C84"/>
    <w:rsid w:val="06C86EAF"/>
    <w:rsid w:val="06EF65A5"/>
    <w:rsid w:val="0710614A"/>
    <w:rsid w:val="076129F1"/>
    <w:rsid w:val="07923E35"/>
    <w:rsid w:val="08057303"/>
    <w:rsid w:val="0ABA091F"/>
    <w:rsid w:val="0AF56364"/>
    <w:rsid w:val="0B084174"/>
    <w:rsid w:val="0B0C48B6"/>
    <w:rsid w:val="0C2137C2"/>
    <w:rsid w:val="0CA01C44"/>
    <w:rsid w:val="0D3352A0"/>
    <w:rsid w:val="0D493FDD"/>
    <w:rsid w:val="0DD05524"/>
    <w:rsid w:val="0F183225"/>
    <w:rsid w:val="0F1F755D"/>
    <w:rsid w:val="0FBB4DAA"/>
    <w:rsid w:val="1292635C"/>
    <w:rsid w:val="132C2CCD"/>
    <w:rsid w:val="13496E14"/>
    <w:rsid w:val="13CC678F"/>
    <w:rsid w:val="14A5467F"/>
    <w:rsid w:val="14D14B98"/>
    <w:rsid w:val="16301FF7"/>
    <w:rsid w:val="164C6B4E"/>
    <w:rsid w:val="1653367B"/>
    <w:rsid w:val="16692CE7"/>
    <w:rsid w:val="17101CE1"/>
    <w:rsid w:val="1874388F"/>
    <w:rsid w:val="18A33803"/>
    <w:rsid w:val="18E8166A"/>
    <w:rsid w:val="18F137AE"/>
    <w:rsid w:val="19143FA0"/>
    <w:rsid w:val="197563F1"/>
    <w:rsid w:val="1AD174B0"/>
    <w:rsid w:val="1B6900A2"/>
    <w:rsid w:val="1BB63B6E"/>
    <w:rsid w:val="1BD539BE"/>
    <w:rsid w:val="1E8F0967"/>
    <w:rsid w:val="1F050874"/>
    <w:rsid w:val="1F69A5D9"/>
    <w:rsid w:val="1F865547"/>
    <w:rsid w:val="1FD75EAA"/>
    <w:rsid w:val="1FF19A1F"/>
    <w:rsid w:val="201664D8"/>
    <w:rsid w:val="207C7131"/>
    <w:rsid w:val="20A1344B"/>
    <w:rsid w:val="20B416F2"/>
    <w:rsid w:val="218E62BF"/>
    <w:rsid w:val="21B86BC4"/>
    <w:rsid w:val="23860CA7"/>
    <w:rsid w:val="23A350AB"/>
    <w:rsid w:val="23E671CD"/>
    <w:rsid w:val="23FB7AD5"/>
    <w:rsid w:val="24E8582D"/>
    <w:rsid w:val="24F0431B"/>
    <w:rsid w:val="250F4E8B"/>
    <w:rsid w:val="2589716E"/>
    <w:rsid w:val="262D6E51"/>
    <w:rsid w:val="26560C32"/>
    <w:rsid w:val="269C7581"/>
    <w:rsid w:val="27D24D61"/>
    <w:rsid w:val="27D93612"/>
    <w:rsid w:val="28D21782"/>
    <w:rsid w:val="2939535D"/>
    <w:rsid w:val="29EF3D8C"/>
    <w:rsid w:val="2B83167D"/>
    <w:rsid w:val="2B852A24"/>
    <w:rsid w:val="2C5F9856"/>
    <w:rsid w:val="2C9F3729"/>
    <w:rsid w:val="2E5369D2"/>
    <w:rsid w:val="2F9257C7"/>
    <w:rsid w:val="2FD62B09"/>
    <w:rsid w:val="30A81620"/>
    <w:rsid w:val="30B4535A"/>
    <w:rsid w:val="30C80FB3"/>
    <w:rsid w:val="30FC4D07"/>
    <w:rsid w:val="321E5346"/>
    <w:rsid w:val="322D69D2"/>
    <w:rsid w:val="323C3645"/>
    <w:rsid w:val="32A4322A"/>
    <w:rsid w:val="333D1021"/>
    <w:rsid w:val="33742C64"/>
    <w:rsid w:val="359805FD"/>
    <w:rsid w:val="35D41F5E"/>
    <w:rsid w:val="35FA56D4"/>
    <w:rsid w:val="365C22FA"/>
    <w:rsid w:val="368B3C8B"/>
    <w:rsid w:val="36D56933"/>
    <w:rsid w:val="37415E43"/>
    <w:rsid w:val="388F51B6"/>
    <w:rsid w:val="38C136C3"/>
    <w:rsid w:val="39C940DD"/>
    <w:rsid w:val="3A2153F5"/>
    <w:rsid w:val="3A2D09BF"/>
    <w:rsid w:val="3A54666A"/>
    <w:rsid w:val="3B7547B8"/>
    <w:rsid w:val="3BD3E448"/>
    <w:rsid w:val="3C3C3C6F"/>
    <w:rsid w:val="3CFB17A2"/>
    <w:rsid w:val="3D0D02E6"/>
    <w:rsid w:val="3E37FFFD"/>
    <w:rsid w:val="3EC638CD"/>
    <w:rsid w:val="3ED42521"/>
    <w:rsid w:val="3F4065B2"/>
    <w:rsid w:val="3F87786E"/>
    <w:rsid w:val="3FAFC755"/>
    <w:rsid w:val="3FC7C9B3"/>
    <w:rsid w:val="3FDE77B9"/>
    <w:rsid w:val="3FF71804"/>
    <w:rsid w:val="3FF87DA2"/>
    <w:rsid w:val="401D6520"/>
    <w:rsid w:val="40A02355"/>
    <w:rsid w:val="40C13DAF"/>
    <w:rsid w:val="424827A3"/>
    <w:rsid w:val="433B290F"/>
    <w:rsid w:val="436D3E57"/>
    <w:rsid w:val="43BE6232"/>
    <w:rsid w:val="44B8280E"/>
    <w:rsid w:val="4507681E"/>
    <w:rsid w:val="451E2976"/>
    <w:rsid w:val="456439A0"/>
    <w:rsid w:val="45DD6A53"/>
    <w:rsid w:val="48270370"/>
    <w:rsid w:val="48BA13BF"/>
    <w:rsid w:val="494C41EC"/>
    <w:rsid w:val="494D48CF"/>
    <w:rsid w:val="49C84365"/>
    <w:rsid w:val="49E4194A"/>
    <w:rsid w:val="4C190D76"/>
    <w:rsid w:val="4C5D2292"/>
    <w:rsid w:val="4D35255E"/>
    <w:rsid w:val="4E215487"/>
    <w:rsid w:val="4E370032"/>
    <w:rsid w:val="4E7E36BE"/>
    <w:rsid w:val="4EA302E9"/>
    <w:rsid w:val="4FB12A40"/>
    <w:rsid w:val="506655DC"/>
    <w:rsid w:val="512C07D1"/>
    <w:rsid w:val="52231BF3"/>
    <w:rsid w:val="524C2BBE"/>
    <w:rsid w:val="538E7C11"/>
    <w:rsid w:val="543B24BE"/>
    <w:rsid w:val="54710850"/>
    <w:rsid w:val="5783641E"/>
    <w:rsid w:val="58C660CA"/>
    <w:rsid w:val="590D6ECD"/>
    <w:rsid w:val="5985553B"/>
    <w:rsid w:val="5ADB7A9F"/>
    <w:rsid w:val="5BEC77A8"/>
    <w:rsid w:val="5C553CD4"/>
    <w:rsid w:val="5CAF7CCE"/>
    <w:rsid w:val="5CB95DBB"/>
    <w:rsid w:val="5D315136"/>
    <w:rsid w:val="5D3C09E9"/>
    <w:rsid w:val="5DF205B1"/>
    <w:rsid w:val="5E2D61DC"/>
    <w:rsid w:val="5F5E1248"/>
    <w:rsid w:val="5FA8CD2D"/>
    <w:rsid w:val="60E35775"/>
    <w:rsid w:val="61544E6B"/>
    <w:rsid w:val="616D294F"/>
    <w:rsid w:val="61914CCE"/>
    <w:rsid w:val="61956C63"/>
    <w:rsid w:val="621639EF"/>
    <w:rsid w:val="62D905CA"/>
    <w:rsid w:val="63040886"/>
    <w:rsid w:val="63AFEBB2"/>
    <w:rsid w:val="64B9313C"/>
    <w:rsid w:val="66D70FCE"/>
    <w:rsid w:val="67276C0C"/>
    <w:rsid w:val="67472E85"/>
    <w:rsid w:val="67B45FD5"/>
    <w:rsid w:val="67EE34D9"/>
    <w:rsid w:val="67FF5251"/>
    <w:rsid w:val="689149F2"/>
    <w:rsid w:val="68D42D08"/>
    <w:rsid w:val="691D1BB2"/>
    <w:rsid w:val="6944491B"/>
    <w:rsid w:val="699D7859"/>
    <w:rsid w:val="6AF30494"/>
    <w:rsid w:val="6BD623FB"/>
    <w:rsid w:val="6CE918D3"/>
    <w:rsid w:val="6D281883"/>
    <w:rsid w:val="6DDF55AE"/>
    <w:rsid w:val="6DE650EB"/>
    <w:rsid w:val="6E3931C0"/>
    <w:rsid w:val="6F2C1940"/>
    <w:rsid w:val="6F6D4F2F"/>
    <w:rsid w:val="6F965154"/>
    <w:rsid w:val="6FAB3C12"/>
    <w:rsid w:val="7155294A"/>
    <w:rsid w:val="71687B5B"/>
    <w:rsid w:val="729A5612"/>
    <w:rsid w:val="72D25FA0"/>
    <w:rsid w:val="72FC56B6"/>
    <w:rsid w:val="73E8747E"/>
    <w:rsid w:val="74976415"/>
    <w:rsid w:val="74B33703"/>
    <w:rsid w:val="753379C3"/>
    <w:rsid w:val="75824BD9"/>
    <w:rsid w:val="75ED6B71"/>
    <w:rsid w:val="762D76A2"/>
    <w:rsid w:val="76B43CDA"/>
    <w:rsid w:val="76E71DCE"/>
    <w:rsid w:val="76FF98CA"/>
    <w:rsid w:val="77096CAF"/>
    <w:rsid w:val="7779308B"/>
    <w:rsid w:val="77D3FE62"/>
    <w:rsid w:val="77F669D5"/>
    <w:rsid w:val="79FA5E79"/>
    <w:rsid w:val="7A3A6059"/>
    <w:rsid w:val="7B296973"/>
    <w:rsid w:val="7B2A5117"/>
    <w:rsid w:val="7B6B0909"/>
    <w:rsid w:val="7BDA3403"/>
    <w:rsid w:val="7C8E2FEA"/>
    <w:rsid w:val="7D8F5D43"/>
    <w:rsid w:val="7DFD9D2E"/>
    <w:rsid w:val="7E1554DB"/>
    <w:rsid w:val="7E271D34"/>
    <w:rsid w:val="7F115114"/>
    <w:rsid w:val="7F167425"/>
    <w:rsid w:val="7F37B98E"/>
    <w:rsid w:val="7FA79494"/>
    <w:rsid w:val="7FBAE60D"/>
    <w:rsid w:val="7FCDDA3C"/>
    <w:rsid w:val="7FE7C02F"/>
    <w:rsid w:val="7FEADB37"/>
    <w:rsid w:val="7FEFDE25"/>
    <w:rsid w:val="7FFFB13E"/>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Hyperlink"/>
    <w:unhideWhenUsed/>
    <w:qFormat/>
    <w:uiPriority w:val="99"/>
    <w:rPr>
      <w:color w:val="0000FF"/>
      <w:u w:val="single"/>
    </w:rPr>
  </w:style>
  <w:style w:type="paragraph" w:customStyle="1" w:styleId="19">
    <w:name w:val="B1"/>
    <w:basedOn w:val="12"/>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cs="Times New Roman" w:eastAsiaTheme="minorEastAsia"/>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NO"/>
    <w:basedOn w:val="1"/>
    <w:qFormat/>
    <w:uiPriority w:val="0"/>
    <w:pPr>
      <w:keepLines/>
      <w:ind w:left="1135" w:hanging="851"/>
    </w:pPr>
  </w:style>
  <w:style w:type="character" w:customStyle="1" w:styleId="34">
    <w:name w:val="font11"/>
    <w:basedOn w:val="16"/>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670</Words>
  <Characters>3822</Characters>
  <Lines>31</Lines>
  <Paragraphs>8</Paragraphs>
  <TotalTime>4</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2023-05-26T21:07:00Z</dcterms:created>
  <dc:creator>Alain Sultan</dc:creator>
  <cp:lastModifiedBy>Xiaonan-CMCC 0419</cp:lastModifiedBy>
  <cp:lastPrinted>2001-04-23T17:30:00Z</cp:lastPrinted>
  <dcterms:modified xsi:type="dcterms:W3CDTF">2024-05-17T13:20:35Z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EF14B2B7BB934B3CB3C1590EEC897487</vt:lpwstr>
  </property>
</Properties>
</file>